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321</w:t>
      </w:r>
    </w:p>
    <w:p>
      <w:r>
        <w:t>Bundesgericht (BGE), 1999-07-05, FR</w:t>
      </w:r>
    </w:p>
    <w:p>
      <w:r>
        <w:rPr>
          <w:b/>
        </w:rPr>
        <w:t xml:space="preserve">Quelle: </w:t>
      </w:r>
      <w:r>
        <w:t>https://mcp.opencaselaw.ch/entscheid/bge_125 II 321</w:t>
      </w:r>
    </w:p>
    <w:p>
      <w:r>
        <w:t>FR: ATF 125 II 321</w:t>
      </w:r>
    </w:p>
    <w:p>
      <w:r>
        <w:t>IT: DTF 125 II 321</w:t>
      </w:r>
    </w:p>
    <w:p>
      <w:pPr>
        <w:pStyle w:val="Heading2"/>
      </w:pPr>
      <w:r>
        <w:t>Regeste</w:t>
      </w:r>
    </w:p>
    <w:p>
      <w:r>
        <w:t>Regeste Art. 128 KVV, 8 DSG, 1 und 2 VDSG; Art. 63 VwVG; Einsicht des Versicherten in sein Krankenkassendossier. Der Versicherte hat grundsätzlich das Recht, gegen eine eventuelle Kostenbeteiligung, eine Kopie seines Dossiers zu erhalten. Er muss sich ohne sein Einverständnis nicht mit der Einsicht in das Dossier am Geschäftssitz des Versicherers oder einer nur mündlichen Auskunftserteilung begnügen (E. 3). Auferlegung der erstinstanzlichen Verfahrenskosten (E. 4).</w:t>
      </w:r>
    </w:p>
    <w:p>
      <w:pPr>
        <w:pStyle w:val="Heading2"/>
      </w:pPr>
      <w:r>
        <w:t>Erwägungen</w:t>
      </w:r>
    </w:p>
    <w:p>
      <w:r>
        <w:rPr>
          <w:b/>
        </w:rPr>
        <w:t>E. 3</w:t>
      </w:r>
    </w:p>
    <w:p>
      <w:r>
        <w:t>La recourante se plaint ensuite d'une violation du droit fédéral. Selon elle, la loi ne prévoirait pas une obligation absolue de transmettre le dossier à la personne concernée. Le législateur n'aurait pas voulu imposer au maître du fichier un travail excessif sans rapport avec le but de la loi, en l'obligeant de transmettre en copie l'ensemble des dossiers. La transmission des pièces requises et l'offre de consultation du solde du dossier dans les bureaux de la caisse satisferaient aux exigences de la LAMal et de la LPD. BGE 125 II 321 S. 323 a) La recourante ne conteste pas que le dossier qu'elle détient au sujet de C. constitue une donnée personnelle au sens de l' art. 3 let. a LPD . Le droit d'accès à ce dossier est donc réglé par les art. 8 et 9 LPD , comme le prévoit expressément l' art. 128 OAMal , qui porte comme titre «Droit d'accès de l'assuré aux données le concernant». L' art. 8 al. 1, 2 et 5 LPD a la teneur suivante: 1 Toute personne peut demander au maître du fichier si des données la concernant sont traitées. 2 Le maître du fichier doit lui communiquer: a. toutes les données la concernant qui sont contenues dans le fichier; b. [...].</w:t>
      </w:r>
    </w:p>
    <w:p>
      <w:r>
        <w:rPr>
          <w:b/>
        </w:rPr>
        <w:t>E. 5</w:t>
      </w:r>
    </w:p>
    <w:p>
      <w:r>
        <w:t>Sur le vu de ce qui précède, la décision attaquée ne prête pas le flanc à la critique. 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